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0ACB" w14:textId="79C4A055" w:rsidR="00A008A4" w:rsidRDefault="00A008A4" w:rsidP="00493127"/>
    <w:p w14:paraId="6266652E" w14:textId="0C0E66D9" w:rsidR="0034509F" w:rsidRPr="009D0FA6" w:rsidRDefault="009D0FA6" w:rsidP="009D0FA6">
      <w:pPr>
        <w:jc w:val="center"/>
        <w:rPr>
          <w:noProof/>
          <w:sz w:val="24"/>
          <w:szCs w:val="24"/>
        </w:rPr>
      </w:pPr>
      <w:r w:rsidRPr="009D0FA6">
        <w:rPr>
          <w:noProof/>
          <w:sz w:val="24"/>
          <w:szCs w:val="24"/>
        </w:rPr>
        <w:drawing>
          <wp:anchor distT="0" distB="0" distL="114300" distR="114300" simplePos="0" relativeHeight="251659265" behindDoc="1" locked="0" layoutInCell="1" allowOverlap="1" wp14:anchorId="26408A2E" wp14:editId="1025A282">
            <wp:simplePos x="0" y="0"/>
            <wp:positionH relativeFrom="column">
              <wp:posOffset>-42545</wp:posOffset>
            </wp:positionH>
            <wp:positionV relativeFrom="paragraph">
              <wp:posOffset>40005</wp:posOffset>
            </wp:positionV>
            <wp:extent cx="4019550" cy="1931670"/>
            <wp:effectExtent l="0" t="0" r="0" b="0"/>
            <wp:wrapSquare wrapText="bothSides"/>
            <wp:docPr id="1698379427" name="Image 4" descr="Une image contenant plein air, eau, ciel, embarc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79427" name="Image 4" descr="Une image contenant plein air, eau, ciel, embarca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008A4" w:rsidRPr="009D0FA6">
        <w:rPr>
          <w:b/>
          <w:bCs/>
          <w:noProof/>
          <w:sz w:val="24"/>
          <w:szCs w:val="24"/>
        </w:rPr>
        <w:t>Votre CSE vous propose une</w:t>
      </w:r>
      <w:r w:rsidR="00A008A4" w:rsidRPr="009D0FA6">
        <w:rPr>
          <w:noProof/>
          <w:sz w:val="24"/>
          <w:szCs w:val="24"/>
        </w:rPr>
        <w:t xml:space="preserve"> </w:t>
      </w:r>
      <w:r w:rsidR="00A008A4" w:rsidRPr="009D0FA6">
        <w:rPr>
          <w:noProof/>
          <w:color w:val="00B050"/>
          <w:sz w:val="24"/>
          <w:szCs w:val="24"/>
        </w:rPr>
        <w:t>Escapade à Porto</w:t>
      </w:r>
    </w:p>
    <w:p w14:paraId="05DAA0EE" w14:textId="3B03638A" w:rsidR="009D0FA6" w:rsidRPr="009D0FA6" w:rsidRDefault="00A008A4" w:rsidP="009D0FA6">
      <w:pPr>
        <w:jc w:val="center"/>
        <w:rPr>
          <w:b/>
          <w:bCs/>
          <w:noProof/>
          <w:sz w:val="24"/>
          <w:szCs w:val="24"/>
        </w:rPr>
      </w:pPr>
      <w:r w:rsidRPr="009D0FA6">
        <w:rPr>
          <w:b/>
          <w:bCs/>
          <w:noProof/>
          <w:sz w:val="24"/>
          <w:szCs w:val="24"/>
        </w:rPr>
        <w:t>3 jours / 2 nuits</w:t>
      </w:r>
    </w:p>
    <w:p w14:paraId="01F3D6E0" w14:textId="1F8C51C6" w:rsidR="00A008A4" w:rsidRPr="009D0FA6" w:rsidRDefault="00A165A2" w:rsidP="009D0FA6">
      <w:pPr>
        <w:jc w:val="center"/>
        <w:rPr>
          <w:b/>
          <w:bCs/>
          <w:noProof/>
          <w:sz w:val="24"/>
          <w:szCs w:val="24"/>
        </w:rPr>
      </w:pPr>
      <w:r w:rsidRPr="009D0FA6">
        <w:rPr>
          <w:noProof/>
          <w:sz w:val="24"/>
          <w:szCs w:val="24"/>
        </w:rPr>
        <w:t xml:space="preserve">Du </w:t>
      </w:r>
      <w:r w:rsidR="00A008A4" w:rsidRPr="009D0FA6">
        <w:rPr>
          <w:noProof/>
          <w:sz w:val="24"/>
          <w:szCs w:val="24"/>
        </w:rPr>
        <w:t xml:space="preserve">19 au 21 septembre 2025 </w:t>
      </w:r>
      <w:r w:rsidR="00354605" w:rsidRPr="009D0FA6">
        <w:rPr>
          <w:noProof/>
          <w:sz w:val="24"/>
          <w:szCs w:val="24"/>
        </w:rPr>
        <w:t>où</w:t>
      </w:r>
      <w:r w:rsidRPr="009D0FA6">
        <w:rPr>
          <w:noProof/>
          <w:sz w:val="24"/>
          <w:szCs w:val="24"/>
        </w:rPr>
        <w:t xml:space="preserve"> du</w:t>
      </w:r>
      <w:r w:rsidR="00A008A4" w:rsidRPr="009D0FA6">
        <w:rPr>
          <w:noProof/>
          <w:sz w:val="24"/>
          <w:szCs w:val="24"/>
        </w:rPr>
        <w:t xml:space="preserve"> 11 au 13 octobre 2025</w:t>
      </w:r>
    </w:p>
    <w:p w14:paraId="71C27C5B" w14:textId="77777777" w:rsidR="00354605" w:rsidRDefault="00354605" w:rsidP="00A008A4">
      <w:pPr>
        <w:rPr>
          <w:noProof/>
        </w:rPr>
      </w:pPr>
    </w:p>
    <w:p w14:paraId="255DC5FD" w14:textId="77777777" w:rsidR="009D0FA6" w:rsidRDefault="009D0FA6" w:rsidP="00A008A4">
      <w:pPr>
        <w:rPr>
          <w:b/>
          <w:bCs/>
          <w:noProof/>
        </w:rPr>
      </w:pPr>
    </w:p>
    <w:p w14:paraId="445918E3" w14:textId="3FEA2B0D" w:rsidR="00D712A6" w:rsidRDefault="00A008A4" w:rsidP="00A008A4">
      <w:pPr>
        <w:rPr>
          <w:noProof/>
        </w:rPr>
      </w:pPr>
      <w:r w:rsidRPr="00E87648">
        <w:rPr>
          <w:b/>
          <w:bCs/>
          <w:noProof/>
        </w:rPr>
        <w:t>Le séjour comprend</w:t>
      </w:r>
      <w:r>
        <w:rPr>
          <w:noProof/>
        </w:rPr>
        <w:t> : le transport en bus</w:t>
      </w:r>
      <w:r w:rsidR="0053254F">
        <w:rPr>
          <w:noProof/>
        </w:rPr>
        <w:t xml:space="preserve"> jusqu’à l’aéroport (</w:t>
      </w:r>
      <w:r w:rsidR="00A165A2">
        <w:rPr>
          <w:noProof/>
        </w:rPr>
        <w:t xml:space="preserve">de </w:t>
      </w:r>
      <w:r w:rsidR="0053254F">
        <w:rPr>
          <w:noProof/>
        </w:rPr>
        <w:t>Montceau, Chalon et/ou Mâcon)</w:t>
      </w:r>
      <w:r>
        <w:rPr>
          <w:noProof/>
        </w:rPr>
        <w:t xml:space="preserve"> le billet d’avion, </w:t>
      </w:r>
      <w:r w:rsidR="0053254F">
        <w:rPr>
          <w:noProof/>
        </w:rPr>
        <w:t>2 nuits d’hotel</w:t>
      </w:r>
      <w:r w:rsidR="00E87648">
        <w:rPr>
          <w:noProof/>
        </w:rPr>
        <w:t xml:space="preserve"> ****</w:t>
      </w:r>
      <w:r w:rsidR="0053254F">
        <w:rPr>
          <w:noProof/>
        </w:rPr>
        <w:t xml:space="preserve"> avec petit déjeuner, le pass card ( utilisation illimitée des transports public</w:t>
      </w:r>
      <w:r w:rsidR="0053254F" w:rsidRPr="006A77B0">
        <w:rPr>
          <w:noProof/>
        </w:rPr>
        <w:t>)</w:t>
      </w:r>
      <w:r w:rsidR="006A77B0" w:rsidRPr="006A77B0">
        <w:rPr>
          <w:noProof/>
        </w:rPr>
        <w:t xml:space="preserve"> la taxe de séjour</w:t>
      </w:r>
      <w:r w:rsidR="006A77B0">
        <w:rPr>
          <w:noProof/>
        </w:rPr>
        <w:t xml:space="preserve">, un bagage à main / personne (40x30x20)  : </w:t>
      </w:r>
      <w:r w:rsidR="0053254F" w:rsidRPr="006A77B0">
        <w:rPr>
          <w:noProof/>
        </w:rPr>
        <w:t xml:space="preserve"> </w:t>
      </w:r>
      <w:r w:rsidR="0053254F" w:rsidRPr="00354605">
        <w:rPr>
          <w:noProof/>
          <w:color w:val="00B050"/>
        </w:rPr>
        <w:t>pour 300€ / personne</w:t>
      </w:r>
      <w:r w:rsidR="00D712A6">
        <w:rPr>
          <w:noProof/>
          <w:color w:val="00B050"/>
        </w:rPr>
        <w:t xml:space="preserve"> </w:t>
      </w:r>
      <w:r w:rsidR="00D712A6" w:rsidRPr="00D712A6">
        <w:rPr>
          <w:noProof/>
        </w:rPr>
        <w:t>( A partir de 2ans)</w:t>
      </w:r>
      <w:r w:rsidR="0053254F" w:rsidRPr="00D712A6">
        <w:rPr>
          <w:noProof/>
        </w:rPr>
        <w:t> </w:t>
      </w:r>
      <w:r w:rsidR="0053254F">
        <w:rPr>
          <w:noProof/>
        </w:rPr>
        <w:t>: le salarié, le conjoint et</w:t>
      </w:r>
      <w:r w:rsidR="00031D24">
        <w:rPr>
          <w:noProof/>
        </w:rPr>
        <w:t xml:space="preserve"> ses</w:t>
      </w:r>
      <w:r w:rsidR="0053254F">
        <w:rPr>
          <w:noProof/>
        </w:rPr>
        <w:t xml:space="preserve"> enfants</w:t>
      </w:r>
      <w:r w:rsidR="00031D24">
        <w:rPr>
          <w:noProof/>
        </w:rPr>
        <w:t xml:space="preserve"> à charge ( toujours scolarisés au moment du voyage)</w:t>
      </w:r>
      <w:r w:rsidR="006A77B0">
        <w:rPr>
          <w:noProof/>
        </w:rPr>
        <w:t>.</w:t>
      </w:r>
    </w:p>
    <w:p w14:paraId="4B570222" w14:textId="5426E013" w:rsidR="00D712A6" w:rsidRDefault="006A77B0" w:rsidP="00A008A4">
      <w:pPr>
        <w:rPr>
          <w:noProof/>
        </w:rPr>
      </w:pPr>
      <w:r w:rsidRPr="00D712A6">
        <w:rPr>
          <w:b/>
          <w:bCs/>
          <w:noProof/>
        </w:rPr>
        <w:t>Le s</w:t>
      </w:r>
      <w:r w:rsidR="00D712A6">
        <w:rPr>
          <w:b/>
          <w:bCs/>
          <w:noProof/>
        </w:rPr>
        <w:t>é</w:t>
      </w:r>
      <w:r w:rsidRPr="00D712A6">
        <w:rPr>
          <w:b/>
          <w:bCs/>
          <w:noProof/>
        </w:rPr>
        <w:t>jours ne comprend</w:t>
      </w:r>
      <w:r w:rsidR="00D712A6">
        <w:rPr>
          <w:b/>
          <w:bCs/>
          <w:noProof/>
        </w:rPr>
        <w:t xml:space="preserve"> pas </w:t>
      </w:r>
      <w:r>
        <w:rPr>
          <w:noProof/>
        </w:rPr>
        <w:t xml:space="preserve"> : </w:t>
      </w:r>
      <w:r w:rsidR="00D712A6">
        <w:rPr>
          <w:noProof/>
        </w:rPr>
        <w:t xml:space="preserve">bagage en soute : </w:t>
      </w:r>
      <w:r w:rsidR="00D712A6" w:rsidRPr="00D712A6">
        <w:rPr>
          <w:noProof/>
          <w:color w:val="4EA72E" w:themeColor="accent6"/>
        </w:rPr>
        <w:t>90€</w:t>
      </w:r>
      <w:r w:rsidR="00D712A6">
        <w:rPr>
          <w:noProof/>
        </w:rPr>
        <w:t xml:space="preserve">, les repas hors petit déjeuner, la majoration chambre individuelle : </w:t>
      </w:r>
      <w:r w:rsidR="00D712A6" w:rsidRPr="00D712A6">
        <w:rPr>
          <w:noProof/>
          <w:color w:val="4EA72E" w:themeColor="accent6"/>
        </w:rPr>
        <w:t>270€</w:t>
      </w:r>
    </w:p>
    <w:p w14:paraId="189C0CE0" w14:textId="3003C9C0" w:rsidR="00031D24" w:rsidRDefault="0053254F" w:rsidP="00A008A4">
      <w:pPr>
        <w:rPr>
          <w:sz w:val="20"/>
          <w:szCs w:val="20"/>
        </w:rPr>
      </w:pPr>
      <w:r w:rsidRPr="00E87648">
        <w:rPr>
          <w:b/>
          <w:bCs/>
          <w:noProof/>
        </w:rPr>
        <w:t>Vous pouvez profiter d’une visite panoramique</w:t>
      </w:r>
      <w:r w:rsidR="00031D24">
        <w:rPr>
          <w:noProof/>
        </w:rPr>
        <w:t xml:space="preserve"> : </w:t>
      </w:r>
      <w:r w:rsidRPr="00031D24">
        <w:rPr>
          <w:i/>
          <w:iCs/>
          <w:sz w:val="20"/>
          <w:szCs w:val="20"/>
        </w:rPr>
        <w:t xml:space="preserve">Départ de l’hôtel pour une visite panoramique de la deuxième ville du </w:t>
      </w:r>
      <w:r w:rsidR="006A77B0" w:rsidRPr="00031D24">
        <w:rPr>
          <w:i/>
          <w:iCs/>
          <w:sz w:val="20"/>
          <w:szCs w:val="20"/>
        </w:rPr>
        <w:t>Portugal avec</w:t>
      </w:r>
      <w:r w:rsidRPr="00031D24">
        <w:rPr>
          <w:i/>
          <w:iCs/>
          <w:sz w:val="20"/>
          <w:szCs w:val="20"/>
        </w:rPr>
        <w:t xml:space="preserve"> le quartier de la Sé Cathédral, le palais épiscopal, la Gare de São Bento, avec ses panneaux d’azulejos allusifs à l’histoire du Portugal, l’Église et la Tour des </w:t>
      </w:r>
      <w:proofErr w:type="spellStart"/>
      <w:r w:rsidRPr="00031D24">
        <w:rPr>
          <w:i/>
          <w:iCs/>
          <w:sz w:val="20"/>
          <w:szCs w:val="20"/>
        </w:rPr>
        <w:t>Clérigos</w:t>
      </w:r>
      <w:proofErr w:type="spellEnd"/>
      <w:r w:rsidRPr="00031D24">
        <w:rPr>
          <w:i/>
          <w:iCs/>
          <w:sz w:val="20"/>
          <w:szCs w:val="20"/>
        </w:rPr>
        <w:t xml:space="preserve">, ex-libris de la ville. </w:t>
      </w:r>
      <w:r w:rsidR="006A77B0">
        <w:rPr>
          <w:i/>
          <w:iCs/>
          <w:sz w:val="20"/>
          <w:szCs w:val="20"/>
        </w:rPr>
        <w:t>L</w:t>
      </w:r>
      <w:r w:rsidRPr="00031D24">
        <w:rPr>
          <w:i/>
          <w:iCs/>
          <w:sz w:val="20"/>
          <w:szCs w:val="20"/>
        </w:rPr>
        <w:t xml:space="preserve">a zone fluviale de Porto </w:t>
      </w:r>
      <w:r w:rsidR="00812A4F" w:rsidRPr="00031D24">
        <w:rPr>
          <w:i/>
          <w:iCs/>
          <w:sz w:val="20"/>
          <w:szCs w:val="20"/>
        </w:rPr>
        <w:t>où</w:t>
      </w:r>
      <w:r w:rsidRPr="00031D24">
        <w:rPr>
          <w:i/>
          <w:iCs/>
          <w:sz w:val="20"/>
          <w:szCs w:val="20"/>
        </w:rPr>
        <w:t xml:space="preserve"> vous apercevrez le Palais de la Bourse célèbre pour son salon arabe inspiré de l'Alhambra de Grenade (entrée non incluse). </w:t>
      </w:r>
      <w:r w:rsidR="00031D24" w:rsidRPr="00031D24">
        <w:rPr>
          <w:i/>
          <w:iCs/>
          <w:sz w:val="20"/>
          <w:szCs w:val="20"/>
        </w:rPr>
        <w:t>Découverte</w:t>
      </w:r>
      <w:r w:rsidRPr="00031D24">
        <w:rPr>
          <w:i/>
          <w:iCs/>
          <w:sz w:val="20"/>
          <w:szCs w:val="20"/>
        </w:rPr>
        <w:t xml:space="preserve"> de la Casa do Infante, un des édifices les plus charismatiques de la ville, de la Place et du Quai de la </w:t>
      </w:r>
      <w:proofErr w:type="spellStart"/>
      <w:r w:rsidRPr="00031D24">
        <w:rPr>
          <w:i/>
          <w:iCs/>
          <w:sz w:val="20"/>
          <w:szCs w:val="20"/>
        </w:rPr>
        <w:t>Ribeira</w:t>
      </w:r>
      <w:proofErr w:type="spellEnd"/>
      <w:r w:rsidRPr="00031D24">
        <w:rPr>
          <w:i/>
          <w:iCs/>
          <w:sz w:val="20"/>
          <w:szCs w:val="20"/>
        </w:rPr>
        <w:t xml:space="preserve">, des Ponts Maria Pia et D. </w:t>
      </w:r>
      <w:r w:rsidR="00031D24" w:rsidRPr="00031D24">
        <w:rPr>
          <w:i/>
          <w:iCs/>
          <w:sz w:val="20"/>
          <w:szCs w:val="20"/>
        </w:rPr>
        <w:t>Luis</w:t>
      </w:r>
      <w:r w:rsidRPr="00031D24">
        <w:rPr>
          <w:i/>
          <w:iCs/>
          <w:sz w:val="20"/>
          <w:szCs w:val="20"/>
        </w:rPr>
        <w:t xml:space="preserve"> I. Visite d’une cave à vin et dégustation</w:t>
      </w:r>
      <w:r>
        <w:rPr>
          <w:sz w:val="20"/>
          <w:szCs w:val="20"/>
        </w:rPr>
        <w:t xml:space="preserve"> </w:t>
      </w:r>
      <w:r w:rsidRPr="00031D24">
        <w:rPr>
          <w:i/>
          <w:iCs/>
          <w:sz w:val="20"/>
          <w:szCs w:val="20"/>
        </w:rPr>
        <w:t>de vin (incluse</w:t>
      </w:r>
      <w:r w:rsidR="00031D24" w:rsidRPr="00031D24">
        <w:rPr>
          <w:i/>
          <w:iCs/>
          <w:sz w:val="20"/>
          <w:szCs w:val="20"/>
        </w:rPr>
        <w:t>). Retour</w:t>
      </w:r>
      <w:r w:rsidRPr="00031D24">
        <w:rPr>
          <w:i/>
          <w:iCs/>
          <w:sz w:val="20"/>
          <w:szCs w:val="20"/>
        </w:rPr>
        <w:t xml:space="preserve"> </w:t>
      </w:r>
      <w:r w:rsidR="00031D24" w:rsidRPr="00031D24">
        <w:rPr>
          <w:i/>
          <w:iCs/>
          <w:sz w:val="20"/>
          <w:szCs w:val="20"/>
        </w:rPr>
        <w:t>à</w:t>
      </w:r>
      <w:r w:rsidRPr="00031D24">
        <w:rPr>
          <w:i/>
          <w:iCs/>
          <w:sz w:val="20"/>
          <w:szCs w:val="20"/>
        </w:rPr>
        <w:t xml:space="preserve"> l’</w:t>
      </w:r>
      <w:r w:rsidR="00031D24" w:rsidRPr="00031D24">
        <w:rPr>
          <w:i/>
          <w:iCs/>
          <w:sz w:val="20"/>
          <w:szCs w:val="20"/>
        </w:rPr>
        <w:t>hôtel.</w:t>
      </w:r>
      <w:r w:rsidR="00031D24">
        <w:rPr>
          <w:sz w:val="20"/>
          <w:szCs w:val="20"/>
        </w:rPr>
        <w:t xml:space="preserve">  </w:t>
      </w:r>
      <w:r w:rsidR="00031D24" w:rsidRPr="00031D24">
        <w:t>Ceci est une option</w:t>
      </w:r>
      <w:r w:rsidR="00354605">
        <w:t xml:space="preserve"> </w:t>
      </w:r>
      <w:r w:rsidR="00031D2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031D24" w:rsidRPr="00354605">
        <w:rPr>
          <w:color w:val="00B050"/>
        </w:rPr>
        <w:t>27€ / personne</w:t>
      </w:r>
    </w:p>
    <w:p w14:paraId="58AB8C5E" w14:textId="4F0C7A39" w:rsidR="00031D24" w:rsidRDefault="00031D24" w:rsidP="00A008A4">
      <w:pPr>
        <w:rPr>
          <w:b/>
          <w:bCs/>
        </w:rPr>
      </w:pPr>
      <w:r w:rsidRPr="00031D24">
        <w:t>Pour pouvoir participer à la sortie il faut avoir rempli sa fiche de renseignement et ne pas être en arrêt maladie ou congé parental</w:t>
      </w:r>
      <w:r w:rsidR="00D712A6">
        <w:t xml:space="preserve"> et </w:t>
      </w:r>
      <w:r w:rsidR="00D712A6" w:rsidRPr="00D712A6">
        <w:rPr>
          <w:b/>
          <w:bCs/>
        </w:rPr>
        <w:t>avoir une carte d’identité</w:t>
      </w:r>
      <w:r w:rsidR="00D712A6">
        <w:rPr>
          <w:b/>
          <w:bCs/>
        </w:rPr>
        <w:t xml:space="preserve"> ou</w:t>
      </w:r>
      <w:r w:rsidR="00CB3A6B">
        <w:rPr>
          <w:b/>
          <w:bCs/>
        </w:rPr>
        <w:t xml:space="preserve"> un</w:t>
      </w:r>
      <w:r w:rsidR="00D712A6">
        <w:rPr>
          <w:b/>
          <w:bCs/>
        </w:rPr>
        <w:t xml:space="preserve"> passeport</w:t>
      </w:r>
      <w:r w:rsidR="00D712A6" w:rsidRPr="00D712A6">
        <w:rPr>
          <w:b/>
          <w:bCs/>
        </w:rPr>
        <w:t xml:space="preserve"> valide</w:t>
      </w:r>
      <w:r w:rsidR="00D712A6">
        <w:rPr>
          <w:b/>
          <w:bCs/>
        </w:rPr>
        <w:t xml:space="preserve"> au moment du séjour</w:t>
      </w:r>
      <w:r w:rsidR="00D712A6" w:rsidRPr="00D712A6">
        <w:rPr>
          <w:b/>
          <w:bCs/>
        </w:rPr>
        <w:t>.</w:t>
      </w:r>
      <w:r w:rsidR="005A777B">
        <w:rPr>
          <w:b/>
          <w:bCs/>
        </w:rPr>
        <w:t xml:space="preserve"> Également vous rapprocher de votre responsable pour </w:t>
      </w:r>
      <w:r w:rsidR="009D0FA6">
        <w:rPr>
          <w:b/>
          <w:bCs/>
        </w:rPr>
        <w:t xml:space="preserve">savoir si vous pouvez poser </w:t>
      </w:r>
      <w:r w:rsidR="005A777B">
        <w:rPr>
          <w:b/>
          <w:bCs/>
        </w:rPr>
        <w:t>un jour de congé</w:t>
      </w:r>
      <w:r w:rsidR="009D0FA6">
        <w:rPr>
          <w:b/>
          <w:bCs/>
        </w:rPr>
        <w:t>.</w:t>
      </w:r>
    </w:p>
    <w:p w14:paraId="531BA86E" w14:textId="0C1EAED4" w:rsidR="00D712A6" w:rsidRDefault="00031D24" w:rsidP="00F25BD8">
      <w:pPr>
        <w:pBdr>
          <w:bottom w:val="single" w:sz="6" w:space="1" w:color="auto"/>
        </w:pBdr>
      </w:pPr>
      <w:r>
        <w:t xml:space="preserve">Vous avez la possibilité de payer en 9 fois </w:t>
      </w:r>
      <w:r w:rsidR="00E87648">
        <w:t>(Janvier</w:t>
      </w:r>
      <w:r>
        <w:t xml:space="preserve">, février, mars, avril, mai, juin, juillet, août, septembre). Nous devons avoir la totalité de paiement pour valider l’inscription </w:t>
      </w:r>
      <w:r w:rsidR="00E87648">
        <w:t>(vous</w:t>
      </w:r>
      <w:r>
        <w:t xml:space="preserve"> pouvez recopier le coupon ci-dessous si vous ne pouvez imprimer). La date butoir est le lundi </w:t>
      </w:r>
      <w:r w:rsidR="002206DA">
        <w:t>10</w:t>
      </w:r>
      <w:r>
        <w:t xml:space="preserve"> janvier 2025. Nous vous contacterons pour vous confirmer votre inscription </w:t>
      </w:r>
      <w:r w:rsidR="00E87648">
        <w:t>(possibilité</w:t>
      </w:r>
      <w:r>
        <w:t xml:space="preserve"> de liste d’attente)</w:t>
      </w:r>
    </w:p>
    <w:p w14:paraId="1A558D68" w14:textId="77777777" w:rsidR="003A6F71" w:rsidRDefault="00E87648" w:rsidP="00A008A4">
      <w:r>
        <w:t xml:space="preserve">Nom /prénom / date de naissance des participants : </w:t>
      </w:r>
      <w:r w:rsidR="00354605">
        <w:t>……</w:t>
      </w:r>
      <w:r>
        <w:t xml:space="preserve">. </w:t>
      </w:r>
      <w:r w:rsidR="00354605">
        <w:t>x</w:t>
      </w:r>
      <w:r>
        <w:t xml:space="preserve"> 300€ =</w:t>
      </w:r>
    </w:p>
    <w:p w14:paraId="48280203" w14:textId="0DBCAD6B" w:rsidR="00E87648" w:rsidRDefault="00E87648" w:rsidP="00A008A4">
      <w:r>
        <w:t xml:space="preserve"> </w:t>
      </w:r>
    </w:p>
    <w:p w14:paraId="69ECAD9C" w14:textId="77790ED4" w:rsidR="00E87648" w:rsidRDefault="00E87648" w:rsidP="00A008A4">
      <w:r>
        <w:tab/>
      </w:r>
      <w:r>
        <w:tab/>
      </w:r>
      <w:r>
        <w:tab/>
      </w:r>
      <w:r>
        <w:tab/>
        <w:t xml:space="preserve">       Avec option visite : ………x 327€ =</w:t>
      </w:r>
    </w:p>
    <w:p w14:paraId="211A0A67" w14:textId="5ADF29F3" w:rsidR="00E87648" w:rsidRDefault="00E87648" w:rsidP="00A008A4">
      <w:r>
        <w:t xml:space="preserve">Choix de date : </w:t>
      </w:r>
      <w:r w:rsidR="00A351E4">
        <w:t xml:space="preserve">    </w:t>
      </w:r>
      <w:r>
        <w:t>19 au 21 septembre</w:t>
      </w:r>
      <w:r w:rsidR="00A351E4">
        <w:t xml:space="preserve">.       </w:t>
      </w:r>
      <w:r>
        <w:t xml:space="preserve"> 11 au 13 </w:t>
      </w:r>
      <w:r w:rsidR="00A351E4">
        <w:t>octobre</w:t>
      </w:r>
    </w:p>
    <w:p w14:paraId="67F9AF05" w14:textId="504BBB87" w:rsidR="00E87648" w:rsidRPr="00031D24" w:rsidRDefault="00E87648" w:rsidP="00A008A4">
      <w:r>
        <w:t>Portable (obligatoire) :</w:t>
      </w:r>
    </w:p>
    <w:sectPr w:rsidR="00E87648" w:rsidRPr="0003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0D"/>
    <w:rsid w:val="00031D24"/>
    <w:rsid w:val="000B5B6E"/>
    <w:rsid w:val="002206DA"/>
    <w:rsid w:val="00247B18"/>
    <w:rsid w:val="0034509F"/>
    <w:rsid w:val="00354605"/>
    <w:rsid w:val="003A6F71"/>
    <w:rsid w:val="00493127"/>
    <w:rsid w:val="0053254F"/>
    <w:rsid w:val="005A777B"/>
    <w:rsid w:val="0069040D"/>
    <w:rsid w:val="006A77B0"/>
    <w:rsid w:val="00812A4F"/>
    <w:rsid w:val="00875F80"/>
    <w:rsid w:val="008E6C56"/>
    <w:rsid w:val="009D0FA6"/>
    <w:rsid w:val="00A008A4"/>
    <w:rsid w:val="00A165A2"/>
    <w:rsid w:val="00A351E4"/>
    <w:rsid w:val="00AF0A4D"/>
    <w:rsid w:val="00CB3A6B"/>
    <w:rsid w:val="00D712A6"/>
    <w:rsid w:val="00E67980"/>
    <w:rsid w:val="00E87648"/>
    <w:rsid w:val="00F25BD8"/>
    <w:rsid w:val="00F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7CA9"/>
  <w15:chartTrackingRefBased/>
  <w15:docId w15:val="{B2C1E384-6A7A-4779-B2DB-3811DDDF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0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0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0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04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04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4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4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4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4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4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04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4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4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F6A966A8F684183510F7F49D861C7" ma:contentTypeVersion="15" ma:contentTypeDescription="Crée un document." ma:contentTypeScope="" ma:versionID="faaa550314811bf572d7f7c743ea228a">
  <xsd:schema xmlns:xsd="http://www.w3.org/2001/XMLSchema" xmlns:xs="http://www.w3.org/2001/XMLSchema" xmlns:p="http://schemas.microsoft.com/office/2006/metadata/properties" xmlns:ns2="01cc6608-a999-4ae4-b675-62c63a2e88d6" xmlns:ns3="a4d50d4c-0bc8-407a-8e6c-0131ce573072" targetNamespace="http://schemas.microsoft.com/office/2006/metadata/properties" ma:root="true" ma:fieldsID="b4454a26f7a15a67042b93afefae35ae" ns2:_="" ns3:_="">
    <xsd:import namespace="01cc6608-a999-4ae4-b675-62c63a2e88d6"/>
    <xsd:import namespace="a4d50d4c-0bc8-407a-8e6c-0131ce573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6608-a999-4ae4-b675-62c63a2e8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e6d3f54-074e-4134-a5e1-cae0cd84a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0d4c-0bc8-407a-8e6c-0131ce57307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493d71-98e0-4b80-a7f2-21f157961053}" ma:internalName="TaxCatchAll" ma:showField="CatchAllData" ma:web="a4d50d4c-0bc8-407a-8e6c-0131ce573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c6608-a999-4ae4-b675-62c63a2e88d6">
      <Terms xmlns="http://schemas.microsoft.com/office/infopath/2007/PartnerControls"/>
    </lcf76f155ced4ddcb4097134ff3c332f>
    <TaxCatchAll xmlns="a4d50d4c-0bc8-407a-8e6c-0131ce573072" xsi:nil="true"/>
  </documentManagement>
</p:properties>
</file>

<file path=customXml/itemProps1.xml><?xml version="1.0" encoding="utf-8"?>
<ds:datastoreItem xmlns:ds="http://schemas.openxmlformats.org/officeDocument/2006/customXml" ds:itemID="{B3C4163A-82CC-41C6-9A3C-865CB878D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92F4C-B43B-477B-AD5B-3B951006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6608-a999-4ae4-b675-62c63a2e88d6"/>
    <ds:schemaRef ds:uri="a4d50d4c-0bc8-407a-8e6c-0131ce57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60B6D-18CD-46BA-A59E-60DC81D01C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96236-71CF-460F-9D16-7A15BCB22AB6}">
  <ds:schemaRefs>
    <ds:schemaRef ds:uri="http://schemas.microsoft.com/office/2006/metadata/properties"/>
    <ds:schemaRef ds:uri="http://schemas.microsoft.com/office/infopath/2007/PartnerControls"/>
    <ds:schemaRef ds:uri="01cc6608-a999-4ae4-b675-62c63a2e88d6"/>
    <ds:schemaRef ds:uri="a4d50d4c-0bc8-407a-8e6c-0131ce573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cssct@csereseau-apa71.fr</dc:creator>
  <cp:keywords/>
  <dc:description/>
  <cp:lastModifiedBy>CGT CSE RESEAU APA</cp:lastModifiedBy>
  <cp:revision>16</cp:revision>
  <cp:lastPrinted>2024-12-19T14:02:00Z</cp:lastPrinted>
  <dcterms:created xsi:type="dcterms:W3CDTF">2024-12-19T09:42:00Z</dcterms:created>
  <dcterms:modified xsi:type="dcterms:W3CDTF">2024-12-31T10:38:00Z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0x010100235F6A966A8F684183510F7F49D861C7</vt:lpwstr>
  </property>
  <property fmtid="{D5CDD505-2E9C-101B-9397-08002B2CF9AE}" pid="3" name="MediaServiceImageTags">
    <vt:lpwstr/>
  </property>
</Properties>
</file>